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D34B" w14:textId="77777777" w:rsidR="003554C8" w:rsidRPr="000673FE" w:rsidRDefault="003554C8" w:rsidP="008435F0">
      <w:pPr>
        <w:jc w:val="right"/>
        <w:rPr>
          <w:rFonts w:ascii="Arial" w:hAnsi="Arial" w:cs="Arial"/>
          <w:b/>
          <w:bCs/>
        </w:rPr>
      </w:pPr>
    </w:p>
    <w:p w14:paraId="4D85F03D" w14:textId="7CE8C1B6" w:rsidR="00E20370" w:rsidRPr="000673FE" w:rsidRDefault="00E20370" w:rsidP="008435F0">
      <w:pPr>
        <w:jc w:val="right"/>
        <w:rPr>
          <w:rFonts w:ascii="Arial" w:hAnsi="Arial" w:cs="Arial"/>
          <w:b/>
          <w:bCs/>
        </w:rPr>
      </w:pPr>
      <w:r w:rsidRPr="000673FE">
        <w:rPr>
          <w:rFonts w:ascii="Arial" w:hAnsi="Arial" w:cs="Arial"/>
          <w:b/>
          <w:bCs/>
        </w:rPr>
        <w:t>COMMUNIQUÉ DE PRESSE</w:t>
      </w:r>
      <w:r w:rsidR="008435F0" w:rsidRPr="000673FE">
        <w:rPr>
          <w:rFonts w:ascii="Arial" w:hAnsi="Arial" w:cs="Arial"/>
          <w:b/>
          <w:bCs/>
        </w:rPr>
        <w:br/>
      </w:r>
      <w:r w:rsidRPr="000673FE">
        <w:rPr>
          <w:rFonts w:ascii="Arial" w:hAnsi="Arial" w:cs="Arial"/>
          <w:b/>
          <w:bCs/>
        </w:rPr>
        <w:t>Pour diffusion immédiate</w:t>
      </w:r>
    </w:p>
    <w:p w14:paraId="1908467C" w14:textId="4267AE61" w:rsidR="003554C8" w:rsidRPr="000673FE" w:rsidRDefault="00C8463B" w:rsidP="00C8463B">
      <w:pPr>
        <w:jc w:val="center"/>
        <w:rPr>
          <w:rFonts w:ascii="Arial" w:hAnsi="Arial" w:cs="Arial"/>
          <w:b/>
          <w:bCs/>
        </w:rPr>
      </w:pPr>
      <w:r w:rsidRPr="00C8463B">
        <w:rPr>
          <w:rFonts w:ascii="Arial" w:hAnsi="Arial" w:cs="Arial"/>
          <w:b/>
          <w:bCs/>
        </w:rPr>
        <w:t xml:space="preserve">Le Nord canadien sous pression : une nouvelle chaire pour </w:t>
      </w:r>
      <w:r w:rsidR="008D4D2F">
        <w:rPr>
          <w:rFonts w:ascii="Arial" w:hAnsi="Arial" w:cs="Arial"/>
          <w:b/>
          <w:bCs/>
        </w:rPr>
        <w:t>renforcer</w:t>
      </w:r>
      <w:r w:rsidRPr="00C8463B">
        <w:rPr>
          <w:rFonts w:ascii="Arial" w:hAnsi="Arial" w:cs="Arial"/>
          <w:b/>
          <w:bCs/>
        </w:rPr>
        <w:t xml:space="preserve"> </w:t>
      </w:r>
      <w:r w:rsidR="008D4D2F">
        <w:rPr>
          <w:rFonts w:ascii="Arial" w:hAnsi="Arial" w:cs="Arial"/>
          <w:b/>
          <w:bCs/>
        </w:rPr>
        <w:t>la résilience des</w:t>
      </w:r>
      <w:r w:rsidRPr="00C8463B">
        <w:rPr>
          <w:rFonts w:ascii="Arial" w:hAnsi="Arial" w:cs="Arial"/>
          <w:b/>
          <w:bCs/>
        </w:rPr>
        <w:t xml:space="preserve"> infrastructures critiques</w:t>
      </w:r>
    </w:p>
    <w:p w14:paraId="5CD00A66" w14:textId="68C7AAFA" w:rsidR="00E21E6C" w:rsidRPr="00E21E6C" w:rsidRDefault="00E21E6C" w:rsidP="005B3623">
      <w:pPr>
        <w:jc w:val="both"/>
        <w:rPr>
          <w:rFonts w:ascii="Arial" w:hAnsi="Arial" w:cs="Arial"/>
        </w:rPr>
      </w:pPr>
      <w:r w:rsidRPr="00E21E6C">
        <w:rPr>
          <w:rFonts w:ascii="Arial" w:hAnsi="Arial" w:cs="Arial"/>
          <w:b/>
          <w:bCs/>
        </w:rPr>
        <w:t>MONTRÉAL, le 14 octobre 2026</w:t>
      </w:r>
      <w:r>
        <w:rPr>
          <w:rFonts w:ascii="Arial" w:hAnsi="Arial" w:cs="Arial"/>
        </w:rPr>
        <w:t xml:space="preserve">. </w:t>
      </w:r>
      <w:r w:rsidRPr="00E21E6C">
        <w:rPr>
          <w:rFonts w:ascii="Arial" w:hAnsi="Arial" w:cs="Arial"/>
        </w:rPr>
        <w:t xml:space="preserve">L'Institut AdapT et le Centre d'excellence de l'OTAN pour les changements climatiques et la sécurité (CCASCOE) annoncent aujourd'hui la création d'une nouvelle chaire de recherche conjointe, dotée d'un financement de </w:t>
      </w:r>
      <w:r w:rsidR="00AF2064">
        <w:rPr>
          <w:rFonts w:ascii="Arial" w:hAnsi="Arial" w:cs="Arial"/>
        </w:rPr>
        <w:t>5</w:t>
      </w:r>
      <w:r w:rsidRPr="00E21E6C">
        <w:rPr>
          <w:rFonts w:ascii="Arial" w:hAnsi="Arial" w:cs="Arial"/>
        </w:rPr>
        <w:t xml:space="preserve">00 000 $ sur quatre ans, dédiée à l'innovation pour la résilience des infrastructures </w:t>
      </w:r>
      <w:r w:rsidR="00F813A2">
        <w:rPr>
          <w:rFonts w:ascii="Arial" w:hAnsi="Arial" w:cs="Arial"/>
        </w:rPr>
        <w:t>nordiques</w:t>
      </w:r>
      <w:r w:rsidRPr="00E21E6C">
        <w:rPr>
          <w:rFonts w:ascii="Arial" w:hAnsi="Arial" w:cs="Arial"/>
        </w:rPr>
        <w:t xml:space="preserve"> face aux changements climatiques et aux enjeux de sécurité.</w:t>
      </w:r>
    </w:p>
    <w:p w14:paraId="342BD275" w14:textId="1CE7648D" w:rsidR="00E21E6C" w:rsidRPr="00E21E6C" w:rsidRDefault="00E21E6C" w:rsidP="005B3623">
      <w:pPr>
        <w:jc w:val="both"/>
        <w:rPr>
          <w:rFonts w:ascii="Arial" w:hAnsi="Arial" w:cs="Arial"/>
        </w:rPr>
      </w:pPr>
      <w:r w:rsidRPr="00E21E6C">
        <w:rPr>
          <w:rFonts w:ascii="Arial" w:hAnsi="Arial" w:cs="Arial"/>
        </w:rPr>
        <w:t xml:space="preserve">Ce financement vient </w:t>
      </w:r>
      <w:r w:rsidR="008D4D2F">
        <w:rPr>
          <w:rFonts w:ascii="Arial" w:hAnsi="Arial" w:cs="Arial"/>
        </w:rPr>
        <w:t>renforcer</w:t>
      </w:r>
      <w:r w:rsidRPr="00E21E6C">
        <w:rPr>
          <w:rFonts w:ascii="Arial" w:hAnsi="Arial" w:cs="Arial"/>
        </w:rPr>
        <w:t xml:space="preserve"> un maillon encore fragile au </w:t>
      </w:r>
      <w:r w:rsidR="008D4D2F">
        <w:rPr>
          <w:rFonts w:ascii="Arial" w:hAnsi="Arial" w:cs="Arial"/>
        </w:rPr>
        <w:t>Canada</w:t>
      </w:r>
      <w:r w:rsidRPr="00E21E6C">
        <w:rPr>
          <w:rFonts w:ascii="Arial" w:hAnsi="Arial" w:cs="Arial"/>
        </w:rPr>
        <w:t xml:space="preserve"> : </w:t>
      </w:r>
      <w:r w:rsidR="008D4D2F">
        <w:rPr>
          <w:rFonts w:ascii="Arial" w:hAnsi="Arial" w:cs="Arial"/>
        </w:rPr>
        <w:t xml:space="preserve">les liens entre </w:t>
      </w:r>
      <w:r w:rsidR="006549DF">
        <w:rPr>
          <w:rFonts w:ascii="Arial" w:hAnsi="Arial" w:cs="Arial"/>
        </w:rPr>
        <w:t xml:space="preserve">la </w:t>
      </w:r>
      <w:r w:rsidR="006549DF" w:rsidRPr="00E21E6C">
        <w:rPr>
          <w:rFonts w:ascii="Arial" w:hAnsi="Arial" w:cs="Arial"/>
        </w:rPr>
        <w:t>recherche</w:t>
      </w:r>
      <w:r w:rsidRPr="00E21E6C">
        <w:rPr>
          <w:rFonts w:ascii="Arial" w:hAnsi="Arial" w:cs="Arial"/>
        </w:rPr>
        <w:t xml:space="preserve"> scientifique, l'innovation et les besoins opérationnels d</w:t>
      </w:r>
      <w:r w:rsidR="008D4D2F">
        <w:rPr>
          <w:rFonts w:ascii="Arial" w:hAnsi="Arial" w:cs="Arial"/>
        </w:rPr>
        <w:t>e la Défense</w:t>
      </w:r>
      <w:r w:rsidRPr="00E21E6C">
        <w:rPr>
          <w:rFonts w:ascii="Arial" w:hAnsi="Arial" w:cs="Arial"/>
        </w:rPr>
        <w:t>. Un enjeu que la cheffe d'état-major de la Défense, la générale Jennie Carignan, soulevait elle-même récemment</w:t>
      </w:r>
      <w:r w:rsidR="00C0096D">
        <w:rPr>
          <w:rFonts w:ascii="Arial" w:hAnsi="Arial" w:cs="Arial"/>
        </w:rPr>
        <w:t xml:space="preserve"> </w:t>
      </w:r>
      <w:r w:rsidR="00C0096D" w:rsidRPr="00C0096D">
        <w:rPr>
          <w:rFonts w:ascii="Arial" w:hAnsi="Arial" w:cs="Arial"/>
        </w:rPr>
        <w:t>devant le Conseil des relations internationales de Montréal (CORIM)</w:t>
      </w:r>
      <w:r w:rsidRPr="00E21E6C">
        <w:rPr>
          <w:rFonts w:ascii="Arial" w:hAnsi="Arial" w:cs="Arial"/>
        </w:rPr>
        <w:t>, rappelant que l</w:t>
      </w:r>
      <w:r w:rsidR="00897991">
        <w:rPr>
          <w:rFonts w:ascii="Arial" w:hAnsi="Arial" w:cs="Arial"/>
        </w:rPr>
        <w:t>es Forces armées canadiennes</w:t>
      </w:r>
      <w:r w:rsidRPr="00E21E6C">
        <w:rPr>
          <w:rFonts w:ascii="Arial" w:hAnsi="Arial" w:cs="Arial"/>
        </w:rPr>
        <w:t xml:space="preserve"> et l'industrie ont trop longtemps fonctionné en vase clos, au détriment d'une collaboration plus précoce et plus efficace.</w:t>
      </w:r>
    </w:p>
    <w:p w14:paraId="10359F75" w14:textId="2D0A5951" w:rsidR="00E21E6C" w:rsidRPr="00E21E6C" w:rsidRDefault="00E21E6C" w:rsidP="005B3623">
      <w:pPr>
        <w:jc w:val="both"/>
        <w:rPr>
          <w:rFonts w:ascii="Arial" w:hAnsi="Arial" w:cs="Arial"/>
        </w:rPr>
      </w:pPr>
      <w:r w:rsidRPr="00E21E6C">
        <w:rPr>
          <w:rFonts w:ascii="Arial" w:hAnsi="Arial" w:cs="Arial"/>
        </w:rPr>
        <w:t xml:space="preserve">C'est précisément cet écart que la nouvelle Chaire de recherche AdapT-CCASCOE entend combler, en misant sur </w:t>
      </w:r>
      <w:r w:rsidR="001C5AE1">
        <w:rPr>
          <w:rFonts w:ascii="Arial" w:hAnsi="Arial" w:cs="Arial"/>
        </w:rPr>
        <w:t>une thématique qui englobe des problématiques tel</w:t>
      </w:r>
      <w:r w:rsidR="008D4D2F">
        <w:rPr>
          <w:rFonts w:ascii="Arial" w:hAnsi="Arial" w:cs="Arial"/>
        </w:rPr>
        <w:t>le</w:t>
      </w:r>
      <w:r w:rsidR="001C5AE1">
        <w:rPr>
          <w:rFonts w:ascii="Arial" w:hAnsi="Arial" w:cs="Arial"/>
        </w:rPr>
        <w:t xml:space="preserve">s que : </w:t>
      </w:r>
      <w:r w:rsidRPr="00E21E6C">
        <w:rPr>
          <w:rFonts w:ascii="Arial" w:hAnsi="Arial" w:cs="Arial"/>
        </w:rPr>
        <w:t xml:space="preserve">le dégel du </w:t>
      </w:r>
      <w:r w:rsidR="008D4D2F" w:rsidRPr="00E21E6C">
        <w:rPr>
          <w:rFonts w:ascii="Arial" w:hAnsi="Arial" w:cs="Arial"/>
        </w:rPr>
        <w:t>pergélisol,</w:t>
      </w:r>
      <w:r w:rsidR="008D4D2F">
        <w:rPr>
          <w:rFonts w:ascii="Arial" w:hAnsi="Arial" w:cs="Arial"/>
        </w:rPr>
        <w:t xml:space="preserve"> </w:t>
      </w:r>
      <w:r w:rsidR="006C27F7" w:rsidRPr="00E21E6C">
        <w:rPr>
          <w:rFonts w:ascii="Arial" w:hAnsi="Arial" w:cs="Arial"/>
        </w:rPr>
        <w:t>les feux de forêt</w:t>
      </w:r>
      <w:r w:rsidR="006C27F7">
        <w:rPr>
          <w:rFonts w:ascii="Arial" w:hAnsi="Arial" w:cs="Arial"/>
        </w:rPr>
        <w:t xml:space="preserve">, </w:t>
      </w:r>
      <w:r w:rsidR="008D4D2F" w:rsidRPr="00E21E6C">
        <w:rPr>
          <w:rFonts w:ascii="Arial" w:hAnsi="Arial" w:cs="Arial"/>
        </w:rPr>
        <w:t>l</w:t>
      </w:r>
      <w:r w:rsidR="006C27F7">
        <w:rPr>
          <w:rFonts w:ascii="Arial" w:hAnsi="Arial" w:cs="Arial"/>
        </w:rPr>
        <w:t>es phénomènes</w:t>
      </w:r>
      <w:r w:rsidRPr="00E21E6C">
        <w:rPr>
          <w:rFonts w:ascii="Arial" w:hAnsi="Arial" w:cs="Arial"/>
        </w:rPr>
        <w:t xml:space="preserve"> météorologiques extrêmes, </w:t>
      </w:r>
      <w:r w:rsidR="00654F06">
        <w:rPr>
          <w:rFonts w:ascii="Arial" w:hAnsi="Arial" w:cs="Arial"/>
        </w:rPr>
        <w:t xml:space="preserve">l’érosion </w:t>
      </w:r>
      <w:r w:rsidR="003A1960">
        <w:rPr>
          <w:rFonts w:ascii="Arial" w:hAnsi="Arial" w:cs="Arial"/>
        </w:rPr>
        <w:t>et</w:t>
      </w:r>
      <w:r w:rsidR="00654F06">
        <w:rPr>
          <w:rFonts w:ascii="Arial" w:hAnsi="Arial" w:cs="Arial"/>
        </w:rPr>
        <w:t xml:space="preserve"> </w:t>
      </w:r>
      <w:r w:rsidR="005E377C">
        <w:rPr>
          <w:rFonts w:ascii="Arial" w:hAnsi="Arial" w:cs="Arial"/>
        </w:rPr>
        <w:t xml:space="preserve">les </w:t>
      </w:r>
      <w:r w:rsidR="00654F06">
        <w:rPr>
          <w:rFonts w:ascii="Arial" w:hAnsi="Arial" w:cs="Arial"/>
        </w:rPr>
        <w:t>risques côtiers</w:t>
      </w:r>
      <w:r w:rsidR="000A2DC1">
        <w:rPr>
          <w:rFonts w:ascii="Arial" w:hAnsi="Arial" w:cs="Arial"/>
        </w:rPr>
        <w:t xml:space="preserve">, </w:t>
      </w:r>
      <w:r w:rsidRPr="00E21E6C">
        <w:rPr>
          <w:rFonts w:ascii="Arial" w:hAnsi="Arial" w:cs="Arial"/>
        </w:rPr>
        <w:t>qui redéfinissent déjà les conditions d'exploitation des infrastructures critiques du Nord canadien.</w:t>
      </w:r>
    </w:p>
    <w:p w14:paraId="743313E2" w14:textId="5802464E" w:rsidR="00E21E6C" w:rsidRPr="00E21E6C" w:rsidRDefault="00404C17" w:rsidP="005B3623">
      <w:pPr>
        <w:jc w:val="both"/>
        <w:rPr>
          <w:rFonts w:ascii="Arial" w:hAnsi="Arial" w:cs="Arial"/>
        </w:rPr>
      </w:pPr>
      <w:r w:rsidRPr="00404C17">
        <w:rPr>
          <w:rFonts w:ascii="Arial" w:hAnsi="Arial" w:cs="Arial"/>
        </w:rPr>
        <w:t>Le lancement de l’appel à candidatures pour pourvoir cette Chaire a eu lieu</w:t>
      </w:r>
      <w:r w:rsidR="001620D0">
        <w:rPr>
          <w:rFonts w:ascii="Arial" w:hAnsi="Arial" w:cs="Arial"/>
        </w:rPr>
        <w:t xml:space="preserve"> </w:t>
      </w:r>
      <w:r w:rsidR="003D4AFC">
        <w:rPr>
          <w:rFonts w:ascii="Arial" w:hAnsi="Arial" w:cs="Arial"/>
        </w:rPr>
        <w:t>aujourd’hui</w:t>
      </w:r>
      <w:r w:rsidR="00C73346">
        <w:rPr>
          <w:rFonts w:ascii="Arial" w:hAnsi="Arial" w:cs="Arial"/>
        </w:rPr>
        <w:t>,</w:t>
      </w:r>
      <w:r w:rsidR="00E21E6C" w:rsidRPr="00E21E6C">
        <w:rPr>
          <w:rFonts w:ascii="Arial" w:hAnsi="Arial" w:cs="Arial"/>
        </w:rPr>
        <w:t xml:space="preserve"> à l'École de technologie supérieure (ÉTS), dans le cadre de la journée Résilience nordique et infrastructures : Innover face aux défis climatiques et de sécurité, qui réunit des représentants de la recherche, de l'industrie, des gouvernements, de la défense et des communautés nordiques.</w:t>
      </w:r>
      <w:r w:rsidR="00E05F62" w:rsidRPr="00E05F62">
        <w:t xml:space="preserve"> </w:t>
      </w:r>
    </w:p>
    <w:p w14:paraId="668EB0C6" w14:textId="0E47F869" w:rsidR="00E21E6C" w:rsidRPr="00E21E6C" w:rsidRDefault="003549F3" w:rsidP="005B3623">
      <w:pPr>
        <w:jc w:val="both"/>
        <w:rPr>
          <w:rFonts w:ascii="Arial" w:hAnsi="Arial" w:cs="Arial"/>
        </w:rPr>
      </w:pPr>
      <w:r w:rsidRPr="003549F3">
        <w:rPr>
          <w:rFonts w:ascii="Arial" w:hAnsi="Arial" w:cs="Arial"/>
        </w:rPr>
        <w:t>Pour Éric Bosco, directeur général de l'Institut AdapT, cette chaire représente bien plus qu'un financement de recherche : « C'est un pont concret entre la recherche</w:t>
      </w:r>
      <w:r w:rsidR="00D53E04">
        <w:rPr>
          <w:rFonts w:ascii="Arial" w:hAnsi="Arial" w:cs="Arial"/>
        </w:rPr>
        <w:t xml:space="preserve">, </w:t>
      </w:r>
      <w:r w:rsidRPr="003549F3">
        <w:rPr>
          <w:rFonts w:ascii="Arial" w:hAnsi="Arial" w:cs="Arial"/>
        </w:rPr>
        <w:t>le milieu militaire</w:t>
      </w:r>
      <w:r w:rsidR="00D53E04">
        <w:rPr>
          <w:rFonts w:ascii="Arial" w:hAnsi="Arial" w:cs="Arial"/>
        </w:rPr>
        <w:t xml:space="preserve"> et l’industrie pour la commercialisation</w:t>
      </w:r>
      <w:r w:rsidRPr="003549F3">
        <w:rPr>
          <w:rFonts w:ascii="Arial" w:hAnsi="Arial" w:cs="Arial"/>
        </w:rPr>
        <w:t xml:space="preserve">, </w:t>
      </w:r>
      <w:r w:rsidR="00D53E04">
        <w:rPr>
          <w:rFonts w:ascii="Arial" w:hAnsi="Arial" w:cs="Arial"/>
        </w:rPr>
        <w:t>trois</w:t>
      </w:r>
      <w:r w:rsidRPr="003549F3">
        <w:rPr>
          <w:rFonts w:ascii="Arial" w:hAnsi="Arial" w:cs="Arial"/>
        </w:rPr>
        <w:t xml:space="preserve"> mondes qui doivent apprendre à travailler ensemble bien plus tôt dans le processus. Renforcer la résilience des infrastructures, c'est renforcer la capacité des communautés à faire face aux changements climatiques et aux nouveaux enjeux de sécurité</w:t>
      </w:r>
      <w:r w:rsidR="00E21E6C" w:rsidRPr="00E21E6C">
        <w:rPr>
          <w:rFonts w:ascii="Arial" w:hAnsi="Arial" w:cs="Arial"/>
        </w:rPr>
        <w:t>. »</w:t>
      </w:r>
    </w:p>
    <w:p w14:paraId="59B06756" w14:textId="77777777" w:rsidR="00822518" w:rsidRDefault="00D06151" w:rsidP="00E21E6C">
      <w:pPr>
        <w:rPr>
          <w:rFonts w:ascii="Arial" w:hAnsi="Arial" w:cs="Arial"/>
        </w:rPr>
      </w:pPr>
      <w:r w:rsidRPr="00D06151">
        <w:rPr>
          <w:rFonts w:ascii="Arial" w:hAnsi="Arial" w:cs="Arial"/>
        </w:rPr>
        <w:t>Un constat partagé par Mathieu Bussières, directeur du CCASCOE : «</w:t>
      </w:r>
      <w:r w:rsidR="008D4D2F">
        <w:rPr>
          <w:rFonts w:ascii="Arial" w:hAnsi="Arial" w:cs="Arial"/>
        </w:rPr>
        <w:t xml:space="preserve"> </w:t>
      </w:r>
      <w:r w:rsidR="008D4D2F" w:rsidRPr="008D4D2F">
        <w:rPr>
          <w:rFonts w:ascii="Arial" w:hAnsi="Arial" w:cs="Arial"/>
        </w:rPr>
        <w:t xml:space="preserve">L’adaptation des infrastructures aux changements climatiques n’est plus une option : elle est devenue une condition essentielle de la préparation opérationnelle et de la sécurité. Cette chaire </w:t>
      </w:r>
    </w:p>
    <w:p w14:paraId="4845454E" w14:textId="77777777" w:rsidR="00822518" w:rsidRDefault="00822518" w:rsidP="00E21E6C">
      <w:pPr>
        <w:rPr>
          <w:rFonts w:ascii="Arial" w:hAnsi="Arial" w:cs="Arial"/>
        </w:rPr>
      </w:pPr>
    </w:p>
    <w:p w14:paraId="2E126FCB" w14:textId="5F793724" w:rsidR="002E4F40" w:rsidRPr="00D06151" w:rsidRDefault="008D4D2F" w:rsidP="00E21E6C">
      <w:pPr>
        <w:rPr>
          <w:rFonts w:ascii="Arial" w:hAnsi="Arial" w:cs="Arial"/>
        </w:rPr>
      </w:pPr>
      <w:proofErr w:type="gramStart"/>
      <w:r w:rsidRPr="008D4D2F">
        <w:rPr>
          <w:rFonts w:ascii="Arial" w:hAnsi="Arial" w:cs="Arial"/>
        </w:rPr>
        <w:t>nous</w:t>
      </w:r>
      <w:proofErr w:type="gramEnd"/>
      <w:r w:rsidRPr="008D4D2F">
        <w:rPr>
          <w:rFonts w:ascii="Arial" w:hAnsi="Arial" w:cs="Arial"/>
        </w:rPr>
        <w:t xml:space="preserve"> </w:t>
      </w:r>
      <w:proofErr w:type="gramStart"/>
      <w:r w:rsidRPr="008D4D2F">
        <w:rPr>
          <w:rFonts w:ascii="Arial" w:hAnsi="Arial" w:cs="Arial"/>
        </w:rPr>
        <w:t>permettra</w:t>
      </w:r>
      <w:proofErr w:type="gramEnd"/>
      <w:r w:rsidRPr="008D4D2F">
        <w:rPr>
          <w:rFonts w:ascii="Arial" w:hAnsi="Arial" w:cs="Arial"/>
        </w:rPr>
        <w:t xml:space="preserve"> de rapprocher la recherche et l’innovation des besoins concrets de la défense, afin de développer des solutions adaptées aux réalités du Nord et de renforcer la résilience des infrastructures critiques face à des risques climatiques qui évoluent rapidement</w:t>
      </w:r>
      <w:r w:rsidR="00D06151" w:rsidRPr="00D06151">
        <w:rPr>
          <w:rFonts w:ascii="Arial" w:hAnsi="Arial" w:cs="Arial"/>
        </w:rPr>
        <w:t>. »</w:t>
      </w:r>
    </w:p>
    <w:p w14:paraId="776F96F1" w14:textId="4F3E8F76" w:rsidR="00E21E6C" w:rsidRPr="00E21E6C" w:rsidRDefault="00E21E6C" w:rsidP="00E21E6C">
      <w:pPr>
        <w:rPr>
          <w:rFonts w:ascii="Arial" w:hAnsi="Arial" w:cs="Arial"/>
        </w:rPr>
      </w:pPr>
      <w:r w:rsidRPr="00E21E6C">
        <w:rPr>
          <w:rFonts w:ascii="Arial" w:hAnsi="Arial" w:cs="Arial"/>
          <w:b/>
          <w:bCs/>
        </w:rPr>
        <w:t>Une programmation tournée vers l'action</w:t>
      </w:r>
    </w:p>
    <w:p w14:paraId="0EFE9876" w14:textId="6D91265C" w:rsidR="00E21E6C" w:rsidRPr="00E21E6C" w:rsidRDefault="00E21E6C" w:rsidP="005B3623">
      <w:pPr>
        <w:jc w:val="both"/>
        <w:rPr>
          <w:rFonts w:ascii="Arial" w:hAnsi="Arial" w:cs="Arial"/>
        </w:rPr>
      </w:pPr>
      <w:r w:rsidRPr="00E21E6C">
        <w:rPr>
          <w:rFonts w:ascii="Arial" w:hAnsi="Arial" w:cs="Arial"/>
        </w:rPr>
        <w:t>Au-delà du lancement de l</w:t>
      </w:r>
      <w:r w:rsidR="00C73346">
        <w:rPr>
          <w:rFonts w:ascii="Arial" w:hAnsi="Arial" w:cs="Arial"/>
        </w:rPr>
        <w:t>’appel à candidatures pour la</w:t>
      </w:r>
      <w:r w:rsidRPr="00E21E6C">
        <w:rPr>
          <w:rFonts w:ascii="Arial" w:hAnsi="Arial" w:cs="Arial"/>
        </w:rPr>
        <w:t xml:space="preserve"> Chaire, la journée propose un panel réunissant des experts des milieux industriel, </w:t>
      </w:r>
      <w:r w:rsidR="00342106">
        <w:rPr>
          <w:rFonts w:ascii="Arial" w:hAnsi="Arial" w:cs="Arial"/>
        </w:rPr>
        <w:t>commun</w:t>
      </w:r>
      <w:r w:rsidR="00E1462C">
        <w:rPr>
          <w:rFonts w:ascii="Arial" w:hAnsi="Arial" w:cs="Arial"/>
        </w:rPr>
        <w:t xml:space="preserve">autaire, </w:t>
      </w:r>
      <w:r w:rsidRPr="00E21E6C">
        <w:rPr>
          <w:rFonts w:ascii="Arial" w:hAnsi="Arial" w:cs="Arial"/>
        </w:rPr>
        <w:t>gouvernemental, militaire et universitaire, suivi de quatre ateliers thématiques consacrés aux infrastructures côtières, à la transition énergétique, à la sécurité civile et à la résilience des infrastructures en zones de pergélisol. Une conférence de clôture portera sur la désinformation climatique, les enjeux démocratiques et leurs répercussions sur la sécurité.</w:t>
      </w:r>
    </w:p>
    <w:p w14:paraId="3373D002" w14:textId="630EE216" w:rsidR="008435F0" w:rsidRPr="000673FE" w:rsidRDefault="00DC41EC" w:rsidP="008435F0">
      <w:pPr>
        <w:rPr>
          <w:rFonts w:ascii="Arial" w:hAnsi="Arial" w:cs="Arial"/>
        </w:rPr>
      </w:pPr>
      <w:r>
        <w:rPr>
          <w:rFonts w:ascii="Arial" w:hAnsi="Arial" w:cs="Arial"/>
        </w:rPr>
        <w:t>Pour plus d’information</w:t>
      </w:r>
      <w:r w:rsidR="00771D27">
        <w:rPr>
          <w:rFonts w:ascii="Arial" w:hAnsi="Arial" w:cs="Arial"/>
        </w:rPr>
        <w:t>,</w:t>
      </w:r>
      <w:r>
        <w:rPr>
          <w:rFonts w:ascii="Arial" w:hAnsi="Arial" w:cs="Arial"/>
        </w:rPr>
        <w:t xml:space="preserve"> visitez le site Internet de l’Institut AdapT – </w:t>
      </w:r>
      <w:hyperlink r:id="rId8" w:history="1">
        <w:r w:rsidRPr="00396667">
          <w:rPr>
            <w:rStyle w:val="Lienhypertexte"/>
            <w:rFonts w:ascii="Arial" w:hAnsi="Arial" w:cs="Arial"/>
          </w:rPr>
          <w:t>lien ici</w:t>
        </w:r>
      </w:hyperlink>
      <w:r w:rsidR="00164584">
        <w:t>.</w:t>
      </w:r>
    </w:p>
    <w:p w14:paraId="6DF8F3E8" w14:textId="6DA3795D" w:rsidR="008435F0" w:rsidRPr="000673FE" w:rsidRDefault="008435F0" w:rsidP="008435F0">
      <w:pPr>
        <w:jc w:val="center"/>
        <w:rPr>
          <w:rFonts w:ascii="Arial" w:hAnsi="Arial" w:cs="Arial"/>
        </w:rPr>
      </w:pPr>
      <w:r w:rsidRPr="000673FE">
        <w:rPr>
          <w:rFonts w:ascii="Arial" w:hAnsi="Arial" w:cs="Arial"/>
        </w:rPr>
        <w:t>30</w:t>
      </w:r>
    </w:p>
    <w:p w14:paraId="5C9A8CF3" w14:textId="7852AFDE" w:rsidR="008435F0" w:rsidRPr="000673FE" w:rsidRDefault="008435F0" w:rsidP="008435F0">
      <w:pPr>
        <w:rPr>
          <w:rFonts w:ascii="Arial" w:hAnsi="Arial" w:cs="Arial"/>
        </w:rPr>
      </w:pPr>
      <w:r w:rsidRPr="000673FE">
        <w:rPr>
          <w:rFonts w:ascii="Arial" w:hAnsi="Arial" w:cs="Arial"/>
        </w:rPr>
        <w:t>Pour tout contact :</w:t>
      </w:r>
    </w:p>
    <w:p w14:paraId="4013F52E" w14:textId="5ED6FA71" w:rsidR="008435F0" w:rsidRDefault="00DC41EC" w:rsidP="008435F0">
      <w:pPr>
        <w:rPr>
          <w:rFonts w:ascii="Arial" w:hAnsi="Arial" w:cs="Arial"/>
        </w:rPr>
      </w:pPr>
      <w:r>
        <w:rPr>
          <w:rFonts w:ascii="Arial" w:hAnsi="Arial" w:cs="Arial"/>
        </w:rPr>
        <w:t xml:space="preserve">Institut AdapT </w:t>
      </w:r>
      <w:r w:rsidR="00B90EFC">
        <w:rPr>
          <w:rFonts w:ascii="Arial" w:hAnsi="Arial" w:cs="Arial"/>
        </w:rPr>
        <w:t>–</w:t>
      </w:r>
      <w:r>
        <w:rPr>
          <w:rFonts w:ascii="Arial" w:hAnsi="Arial" w:cs="Arial"/>
        </w:rPr>
        <w:t xml:space="preserve"> </w:t>
      </w:r>
      <w:hyperlink r:id="rId9" w:history="1">
        <w:r w:rsidR="00B90EFC" w:rsidRPr="00B90EFC">
          <w:rPr>
            <w:rStyle w:val="Lienhypertexte"/>
            <w:rFonts w:ascii="Arial" w:hAnsi="Arial" w:cs="Arial"/>
          </w:rPr>
          <w:t>institutadapt@etsmtl.ca</w:t>
        </w:r>
      </w:hyperlink>
    </w:p>
    <w:p w14:paraId="2E35DA92" w14:textId="77777777" w:rsidR="00164584" w:rsidRDefault="00164584" w:rsidP="008435F0">
      <w:pPr>
        <w:rPr>
          <w:rFonts w:ascii="Arial" w:hAnsi="Arial" w:cs="Arial"/>
          <w:b/>
          <w:bCs/>
        </w:rPr>
      </w:pPr>
    </w:p>
    <w:p w14:paraId="2E7E4B78" w14:textId="54580CFB" w:rsidR="0074425A" w:rsidRDefault="00B939A3" w:rsidP="00F82FE5">
      <w:pPr>
        <w:rPr>
          <w:rFonts w:ascii="Arial" w:hAnsi="Arial" w:cs="Arial"/>
        </w:rPr>
      </w:pPr>
      <w:r w:rsidRPr="00B939A3">
        <w:rPr>
          <w:rFonts w:ascii="Arial" w:hAnsi="Arial" w:cs="Arial"/>
          <w:b/>
          <w:bCs/>
        </w:rPr>
        <w:t>À propos de l’Institut AdapT :</w:t>
      </w:r>
    </w:p>
    <w:p w14:paraId="73DAF100" w14:textId="5D29FA90" w:rsidR="00B939A3" w:rsidRDefault="00B939A3" w:rsidP="0074425A">
      <w:pPr>
        <w:jc w:val="both"/>
        <w:rPr>
          <w:rFonts w:ascii="Arial" w:hAnsi="Arial" w:cs="Arial"/>
        </w:rPr>
      </w:pPr>
      <w:r w:rsidRPr="0031262F">
        <w:rPr>
          <w:rFonts w:ascii="Arial" w:hAnsi="Arial" w:cs="Arial"/>
        </w:rPr>
        <w:t>L’Institut AdapT a pour mission de développer des solutions innovantes pour la conception, la construction, le maintien et l’opération d’infrastructures circulaires et résilientes aux changements climatiques. Il facilite la mise en œuvre de projets de recherche collaboratifs entre les universités, les gouvernements et les secteurs public et privé, accélérant le développement de solutions d’adaptation et de résilience.</w:t>
      </w:r>
    </w:p>
    <w:p w14:paraId="5E0417BC" w14:textId="6625D48D" w:rsidR="0074425A" w:rsidRDefault="00164584" w:rsidP="00F82FE5">
      <w:pPr>
        <w:rPr>
          <w:rFonts w:ascii="Arial" w:hAnsi="Arial" w:cs="Arial"/>
        </w:rPr>
      </w:pPr>
      <w:r w:rsidRPr="00B939A3">
        <w:rPr>
          <w:rFonts w:ascii="Arial" w:hAnsi="Arial" w:cs="Arial"/>
          <w:b/>
          <w:bCs/>
        </w:rPr>
        <w:t>À propos d</w:t>
      </w:r>
      <w:r w:rsidR="00822518">
        <w:rPr>
          <w:rFonts w:ascii="Arial" w:hAnsi="Arial" w:cs="Arial"/>
          <w:b/>
          <w:bCs/>
        </w:rPr>
        <w:t>u</w:t>
      </w:r>
      <w:r w:rsidRPr="00B939A3">
        <w:rPr>
          <w:rFonts w:ascii="Arial" w:hAnsi="Arial" w:cs="Arial"/>
          <w:b/>
          <w:bCs/>
        </w:rPr>
        <w:t xml:space="preserve"> </w:t>
      </w:r>
      <w:r>
        <w:rPr>
          <w:rFonts w:ascii="Arial" w:hAnsi="Arial" w:cs="Arial"/>
          <w:b/>
          <w:bCs/>
        </w:rPr>
        <w:t>CCASCOE</w:t>
      </w:r>
      <w:r w:rsidRPr="00B939A3">
        <w:rPr>
          <w:rFonts w:ascii="Arial" w:hAnsi="Arial" w:cs="Arial"/>
          <w:b/>
          <w:bCs/>
        </w:rPr>
        <w:t> :</w:t>
      </w:r>
    </w:p>
    <w:p w14:paraId="06EB42FC" w14:textId="77777777" w:rsidR="0074425A" w:rsidRDefault="00164584" w:rsidP="0074425A">
      <w:pPr>
        <w:jc w:val="both"/>
        <w:rPr>
          <w:rFonts w:ascii="Arial" w:hAnsi="Arial" w:cs="Arial"/>
        </w:rPr>
      </w:pPr>
      <w:r w:rsidRPr="00164584">
        <w:rPr>
          <w:rFonts w:ascii="Arial" w:hAnsi="Arial" w:cs="Arial"/>
        </w:rPr>
        <w:t xml:space="preserve">Le Centre d’excellence OTAN pour le changement climatique et la sécurité (CCASCOE) est une organisation internationale accréditée par l’OTAN, établie à Montréal, au Québec, au Canada. Soutenu par 12 nations parraines - l’Allemagne, le Canada, le Danemark, la France, la Grèce, l’Italie, la Lettonie, le Luxembourg, la Norvège, la Roumanie, la Türkiye et le Royaume-Uni -, le CCASCOE contribue à renforcer la capacité de l’OTAN à </w:t>
      </w:r>
    </w:p>
    <w:p w14:paraId="552D73FB" w14:textId="77777777" w:rsidR="0074425A" w:rsidRDefault="0074425A" w:rsidP="0074425A">
      <w:pPr>
        <w:jc w:val="both"/>
        <w:rPr>
          <w:rFonts w:ascii="Arial" w:hAnsi="Arial" w:cs="Arial"/>
        </w:rPr>
      </w:pPr>
    </w:p>
    <w:p w14:paraId="38D678FF" w14:textId="77777777" w:rsidR="0074425A" w:rsidRDefault="0074425A" w:rsidP="0074425A">
      <w:pPr>
        <w:jc w:val="both"/>
        <w:rPr>
          <w:rFonts w:ascii="Arial" w:hAnsi="Arial" w:cs="Arial"/>
        </w:rPr>
      </w:pPr>
    </w:p>
    <w:p w14:paraId="26C2AD99" w14:textId="77777777" w:rsidR="006007D7" w:rsidRDefault="006007D7" w:rsidP="0074425A">
      <w:pPr>
        <w:jc w:val="both"/>
        <w:rPr>
          <w:rFonts w:ascii="Arial" w:hAnsi="Arial" w:cs="Arial"/>
        </w:rPr>
      </w:pPr>
    </w:p>
    <w:p w14:paraId="3AB21647" w14:textId="50F6CA7B" w:rsidR="00164584" w:rsidRDefault="00164584" w:rsidP="0074425A">
      <w:pPr>
        <w:jc w:val="both"/>
        <w:rPr>
          <w:rFonts w:ascii="Arial" w:hAnsi="Arial" w:cs="Arial"/>
        </w:rPr>
      </w:pPr>
      <w:proofErr w:type="gramStart"/>
      <w:r w:rsidRPr="00164584">
        <w:rPr>
          <w:rFonts w:ascii="Arial" w:hAnsi="Arial" w:cs="Arial"/>
        </w:rPr>
        <w:t>comprendre</w:t>
      </w:r>
      <w:proofErr w:type="gramEnd"/>
      <w:r w:rsidRPr="00164584">
        <w:rPr>
          <w:rFonts w:ascii="Arial" w:hAnsi="Arial" w:cs="Arial"/>
        </w:rPr>
        <w:t>, à anticiper et à répondre aux implications du changement climatique en matière de sécurité.</w:t>
      </w:r>
    </w:p>
    <w:p w14:paraId="36A08EFA" w14:textId="4D045808" w:rsidR="00164584" w:rsidRPr="00164584" w:rsidRDefault="00164584" w:rsidP="0074425A">
      <w:pPr>
        <w:jc w:val="both"/>
        <w:rPr>
          <w:rFonts w:ascii="Arial" w:hAnsi="Arial" w:cs="Arial"/>
        </w:rPr>
      </w:pPr>
      <w:r w:rsidRPr="00164584">
        <w:rPr>
          <w:rFonts w:ascii="Arial" w:hAnsi="Arial" w:cs="Arial"/>
        </w:rPr>
        <w:t>Le CCASCOE évalue les implications du changement climatique en matière de sécurité pour les Alliés de l’OTAN, ses partenaires et au-delà. Il constitue un pôle d’expertise pour les praticiens et les décideurs civils et militaires. Il contribue à approfondir la compréhension commune du lien entre le climat et la sécurité et appuie les efforts de transformation de l’OTAN visant à maintenir et à renforcer l’efficacité opérationnelle des Alliés dans un contexte climatique en évolution.</w:t>
      </w:r>
    </w:p>
    <w:p w14:paraId="3EBEA5F4" w14:textId="4899CE15" w:rsidR="00164584" w:rsidRPr="000673FE" w:rsidRDefault="00164584" w:rsidP="008435F0">
      <w:pPr>
        <w:rPr>
          <w:rFonts w:ascii="Arial" w:hAnsi="Arial" w:cs="Arial"/>
        </w:rPr>
      </w:pPr>
      <w:r>
        <w:rPr>
          <w:rFonts w:ascii="Arial" w:hAnsi="Arial" w:cs="Arial"/>
        </w:rPr>
        <w:br/>
      </w:r>
    </w:p>
    <w:sectPr w:rsidR="00164584" w:rsidRPr="000673FE" w:rsidSect="00FC4F8A">
      <w:headerReference w:type="even" r:id="rId10"/>
      <w:headerReference w:type="default" r:id="rId11"/>
      <w:footerReference w:type="default" r:id="rId12"/>
      <w:headerReference w:type="first" r:id="rId13"/>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93918" w14:textId="77777777" w:rsidR="00AF360D" w:rsidRDefault="00AF360D" w:rsidP="008435F0">
      <w:pPr>
        <w:spacing w:after="0" w:line="240" w:lineRule="auto"/>
      </w:pPr>
      <w:r>
        <w:separator/>
      </w:r>
    </w:p>
  </w:endnote>
  <w:endnote w:type="continuationSeparator" w:id="0">
    <w:p w14:paraId="0A39CD23" w14:textId="77777777" w:rsidR="00AF360D" w:rsidRDefault="00AF360D" w:rsidP="00843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8880286"/>
      <w:docPartObj>
        <w:docPartGallery w:val="Page Numbers (Bottom of Page)"/>
        <w:docPartUnique/>
      </w:docPartObj>
    </w:sdtPr>
    <w:sdtContent>
      <w:p w14:paraId="55A51821" w14:textId="6C46C663" w:rsidR="00FC4F8A" w:rsidRDefault="00FC4F8A">
        <w:pPr>
          <w:pStyle w:val="Pieddepage"/>
          <w:jc w:val="right"/>
        </w:pPr>
        <w:r>
          <w:fldChar w:fldCharType="begin"/>
        </w:r>
        <w:r>
          <w:instrText>PAGE   \* MERGEFORMAT</w:instrText>
        </w:r>
        <w:r>
          <w:fldChar w:fldCharType="separate"/>
        </w:r>
        <w:r>
          <w:rPr>
            <w:lang w:val="fr-FR"/>
          </w:rPr>
          <w:t>2</w:t>
        </w:r>
        <w:r>
          <w:fldChar w:fldCharType="end"/>
        </w:r>
      </w:p>
    </w:sdtContent>
  </w:sdt>
  <w:p w14:paraId="7637945A" w14:textId="77777777" w:rsidR="00FC4F8A" w:rsidRDefault="00FC4F8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A7DAA" w14:textId="77777777" w:rsidR="00AF360D" w:rsidRDefault="00AF360D" w:rsidP="008435F0">
      <w:pPr>
        <w:spacing w:after="0" w:line="240" w:lineRule="auto"/>
      </w:pPr>
      <w:r>
        <w:separator/>
      </w:r>
    </w:p>
  </w:footnote>
  <w:footnote w:type="continuationSeparator" w:id="0">
    <w:p w14:paraId="44361CE6" w14:textId="77777777" w:rsidR="00AF360D" w:rsidRDefault="00AF360D" w:rsidP="008435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0044" w14:textId="7D0C1988" w:rsidR="00771D27" w:rsidRDefault="00771D27">
    <w:pPr>
      <w:pStyle w:val="En-tte"/>
    </w:pPr>
    <w:r>
      <w:rPr>
        <w:noProof/>
      </w:rPr>
      <mc:AlternateContent>
        <mc:Choice Requires="wps">
          <w:drawing>
            <wp:anchor distT="0" distB="0" distL="0" distR="0" simplePos="0" relativeHeight="251659264" behindDoc="0" locked="0" layoutInCell="1" allowOverlap="1" wp14:anchorId="543C7496" wp14:editId="0A820B8D">
              <wp:simplePos x="635" y="635"/>
              <wp:positionH relativeFrom="page">
                <wp:align>right</wp:align>
              </wp:positionH>
              <wp:positionV relativeFrom="page">
                <wp:align>top</wp:align>
              </wp:positionV>
              <wp:extent cx="2051050" cy="370205"/>
              <wp:effectExtent l="0" t="0" r="0" b="10795"/>
              <wp:wrapNone/>
              <wp:docPr id="53594869" name="Text Box 2"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1050" cy="370205"/>
                      </a:xfrm>
                      <a:prstGeom prst="rect">
                        <a:avLst/>
                      </a:prstGeom>
                      <a:noFill/>
                      <a:ln>
                        <a:noFill/>
                      </a:ln>
                    </wps:spPr>
                    <wps:txbx>
                      <w:txbxContent>
                        <w:p w14:paraId="718CF72B" w14:textId="47F33118" w:rsidR="00771D27" w:rsidRPr="00771D27" w:rsidRDefault="00771D27" w:rsidP="00771D27">
                          <w:pPr>
                            <w:spacing w:after="0"/>
                            <w:rPr>
                              <w:rFonts w:ascii="Aptos" w:eastAsia="Aptos" w:hAnsi="Aptos" w:cs="Aptos"/>
                              <w:noProof/>
                              <w:color w:val="000000"/>
                              <w:sz w:val="20"/>
                              <w:szCs w:val="20"/>
                            </w:rPr>
                          </w:pPr>
                          <w:r w:rsidRPr="00771D27">
                            <w:rPr>
                              <w:rFonts w:ascii="Aptos" w:eastAsia="Aptos" w:hAnsi="Aptos" w:cs="Aptos"/>
                              <w:noProof/>
                              <w:color w:val="000000"/>
                              <w:sz w:val="20"/>
                              <w:szCs w:val="2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43C7496" id="_x0000_t202" coordsize="21600,21600" o:spt="202" path="m,l,21600r21600,l21600,xe">
              <v:stroke joinstyle="miter"/>
              <v:path gradientshapeok="t" o:connecttype="rect"/>
            </v:shapetype>
            <v:shape id="Text Box 2" o:spid="_x0000_s1026" type="#_x0000_t202" alt="UNCLASSIFIED | NON CLASSIFIÉ" style="position:absolute;margin-left:110.3pt;margin-top:0;width:161.5pt;height:29.1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" filled="f" stroked="f">
              <v:textbox style="mso-fit-shape-to-text:t" inset="0,15pt,20pt,0">
                <w:txbxContent>
                  <w:p w14:paraId="718CF72B" w14:textId="47F33118" w:rsidR="00771D27" w:rsidRPr="00771D27" w:rsidRDefault="00771D27" w:rsidP="00771D27">
                    <w:pPr>
                      <w:spacing w:after="0"/>
                      <w:rPr>
                        <w:rFonts w:ascii="Aptos" w:eastAsia="Aptos" w:hAnsi="Aptos" w:cs="Aptos"/>
                        <w:noProof/>
                        <w:color w:val="000000"/>
                        <w:sz w:val="20"/>
                        <w:szCs w:val="20"/>
                      </w:rPr>
                    </w:pPr>
                    <w:r w:rsidRPr="00771D27">
                      <w:rPr>
                        <w:rFonts w:ascii="Aptos" w:eastAsia="Aptos" w:hAnsi="Aptos" w:cs="Aptos"/>
                        <w:noProof/>
                        <w:color w:val="000000"/>
                        <w:sz w:val="20"/>
                        <w:szCs w:val="20"/>
                      </w:rPr>
                      <w:t>UNCLASSIFIED | NON 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A8F9" w14:textId="7176FEF7" w:rsidR="008435F0" w:rsidRDefault="00771D27" w:rsidP="008435F0">
    <w:pPr>
      <w:pStyle w:val="En-tte"/>
      <w:tabs>
        <w:tab w:val="left" w:pos="3020"/>
      </w:tabs>
    </w:pPr>
    <w:r>
      <w:rPr>
        <w:noProof/>
      </w:rPr>
      <mc:AlternateContent>
        <mc:Choice Requires="wps">
          <w:drawing>
            <wp:anchor distT="0" distB="0" distL="0" distR="0" simplePos="0" relativeHeight="251660288" behindDoc="0" locked="0" layoutInCell="1" allowOverlap="1" wp14:anchorId="7D2049B4" wp14:editId="2CE3D5F4">
              <wp:simplePos x="914400" y="447675"/>
              <wp:positionH relativeFrom="page">
                <wp:align>right</wp:align>
              </wp:positionH>
              <wp:positionV relativeFrom="page">
                <wp:align>top</wp:align>
              </wp:positionV>
              <wp:extent cx="2051050" cy="370205"/>
              <wp:effectExtent l="0" t="0" r="0" b="10795"/>
              <wp:wrapNone/>
              <wp:docPr id="1297381262" name="Text Box 3"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1050" cy="370205"/>
                      </a:xfrm>
                      <a:prstGeom prst="rect">
                        <a:avLst/>
                      </a:prstGeom>
                      <a:noFill/>
                      <a:ln>
                        <a:noFill/>
                      </a:ln>
                    </wps:spPr>
                    <wps:txbx>
                      <w:txbxContent>
                        <w:p w14:paraId="1BAC5488" w14:textId="4665B250" w:rsidR="00771D27" w:rsidRPr="00771D27" w:rsidRDefault="00771D27" w:rsidP="00771D27">
                          <w:pPr>
                            <w:spacing w:after="0"/>
                            <w:rPr>
                              <w:rFonts w:ascii="Aptos" w:eastAsia="Aptos" w:hAnsi="Aptos" w:cs="Aptos"/>
                              <w:noProof/>
                              <w:color w:val="000000"/>
                              <w:sz w:val="20"/>
                              <w:szCs w:val="2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D2049B4" id="_x0000_t202" coordsize="21600,21600" o:spt="202" path="m,l,21600r21600,l21600,xe">
              <v:stroke joinstyle="miter"/>
              <v:path gradientshapeok="t" o:connecttype="rect"/>
            </v:shapetype>
            <v:shape id="Text Box 3" o:spid="_x0000_s1027" type="#_x0000_t202" alt="UNCLASSIFIED | NON CLASSIFIÉ" style="position:absolute;margin-left:110.3pt;margin-top:0;width:161.5pt;height:29.1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" filled="f" stroked="f">
              <v:textbox style="mso-fit-shape-to-text:t" inset="0,15pt,20pt,0">
                <w:txbxContent>
                  <w:p w14:paraId="1BAC5488" w14:textId="4665B250" w:rsidR="00771D27" w:rsidRPr="00771D27" w:rsidRDefault="00771D27" w:rsidP="00771D27">
                    <w:pPr>
                      <w:spacing w:after="0"/>
                      <w:rPr>
                        <w:rFonts w:ascii="Aptos" w:eastAsia="Aptos" w:hAnsi="Aptos" w:cs="Aptos"/>
                        <w:noProof/>
                        <w:color w:val="000000"/>
                        <w:sz w:val="20"/>
                        <w:szCs w:val="20"/>
                      </w:rPr>
                    </w:pPr>
                  </w:p>
                </w:txbxContent>
              </v:textbox>
              <w10:wrap anchorx="page" anchory="page"/>
            </v:shape>
          </w:pict>
        </mc:Fallback>
      </mc:AlternateContent>
    </w:r>
    <w:r w:rsidR="008435F0">
      <w:rPr>
        <w:noProof/>
      </w:rPr>
      <w:drawing>
        <wp:inline distT="0" distB="0" distL="0" distR="0" wp14:anchorId="45CB14CF" wp14:editId="1AEA1FE5">
          <wp:extent cx="1671053" cy="635000"/>
          <wp:effectExtent l="0" t="0" r="5715" b="0"/>
          <wp:docPr id="15117079" name="Image 3" descr="CDA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A Institu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8281" cy="637746"/>
                  </a:xfrm>
                  <a:prstGeom prst="rect">
                    <a:avLst/>
                  </a:prstGeom>
                  <a:noFill/>
                  <a:ln>
                    <a:noFill/>
                  </a:ln>
                </pic:spPr>
              </pic:pic>
            </a:graphicData>
          </a:graphic>
        </wp:inline>
      </w:drawing>
    </w:r>
    <w:r w:rsidR="008435F0">
      <w:tab/>
    </w:r>
    <w:r w:rsidR="008435F0">
      <w:tab/>
    </w:r>
    <w:r w:rsidR="008435F0">
      <w:tab/>
    </w:r>
    <w:r w:rsidR="008435F0">
      <w:rPr>
        <w:noProof/>
      </w:rPr>
      <w:drawing>
        <wp:inline distT="0" distB="0" distL="0" distR="0" wp14:anchorId="22D64DBD" wp14:editId="12711252">
          <wp:extent cx="1727200" cy="534955"/>
          <wp:effectExtent l="0" t="0" r="6350" b="0"/>
          <wp:docPr id="146887108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
                    <a:extLst>
                      <a:ext uri="{28A0092B-C50C-407E-A947-70E740481C1C}">
                        <a14:useLocalDpi xmlns:a14="http://schemas.microsoft.com/office/drawing/2010/main" val="0"/>
                      </a:ext>
                    </a:extLst>
                  </a:blip>
                  <a:srcRect l="6738" t="17215" r="4171" b="17469"/>
                  <a:stretch>
                    <a:fillRect/>
                  </a:stretch>
                </pic:blipFill>
                <pic:spPr bwMode="auto">
                  <a:xfrm>
                    <a:off x="0" y="0"/>
                    <a:ext cx="1782537" cy="55209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6DA5" w14:textId="2ED570AC" w:rsidR="00771D27" w:rsidRDefault="00771D27">
    <w:pPr>
      <w:pStyle w:val="En-tte"/>
    </w:pPr>
    <w:r>
      <w:rPr>
        <w:noProof/>
      </w:rPr>
      <mc:AlternateContent>
        <mc:Choice Requires="wps">
          <w:drawing>
            <wp:anchor distT="0" distB="0" distL="0" distR="0" simplePos="0" relativeHeight="251658240" behindDoc="0" locked="0" layoutInCell="1" allowOverlap="1" wp14:anchorId="4D503413" wp14:editId="18DE0300">
              <wp:simplePos x="635" y="635"/>
              <wp:positionH relativeFrom="page">
                <wp:align>right</wp:align>
              </wp:positionH>
              <wp:positionV relativeFrom="page">
                <wp:align>top</wp:align>
              </wp:positionV>
              <wp:extent cx="2051050" cy="370205"/>
              <wp:effectExtent l="0" t="0" r="0" b="10795"/>
              <wp:wrapNone/>
              <wp:docPr id="139422914" name="Text Box 1" descr="UNCLASSIFIED | NON 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1050" cy="370205"/>
                      </a:xfrm>
                      <a:prstGeom prst="rect">
                        <a:avLst/>
                      </a:prstGeom>
                      <a:noFill/>
                      <a:ln>
                        <a:noFill/>
                      </a:ln>
                    </wps:spPr>
                    <wps:txbx>
                      <w:txbxContent>
                        <w:p w14:paraId="548688C7" w14:textId="483A1D6C" w:rsidR="00771D27" w:rsidRPr="00771D27" w:rsidRDefault="00771D27" w:rsidP="00771D27">
                          <w:pPr>
                            <w:spacing w:after="0"/>
                            <w:rPr>
                              <w:rFonts w:ascii="Aptos" w:eastAsia="Aptos" w:hAnsi="Aptos" w:cs="Aptos"/>
                              <w:noProof/>
                              <w:color w:val="000000"/>
                              <w:sz w:val="20"/>
                              <w:szCs w:val="20"/>
                            </w:rPr>
                          </w:pPr>
                          <w:r w:rsidRPr="00771D27">
                            <w:rPr>
                              <w:rFonts w:ascii="Aptos" w:eastAsia="Aptos" w:hAnsi="Aptos" w:cs="Aptos"/>
                              <w:noProof/>
                              <w:color w:val="000000"/>
                              <w:sz w:val="20"/>
                              <w:szCs w:val="20"/>
                            </w:rPr>
                            <w:t>UNCLASSIFIED | NON 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4D503413" id="_x0000_t202" coordsize="21600,21600" o:spt="202" path="m,l,21600r21600,l21600,xe">
              <v:stroke joinstyle="miter"/>
              <v:path gradientshapeok="t" o:connecttype="rect"/>
            </v:shapetype>
            <v:shape id="Text Box 1" o:spid="_x0000_s1028" type="#_x0000_t202" alt="UNCLASSIFIED | NON CLASSIFIÉ" style="position:absolute;margin-left:110.3pt;margin-top:0;width:161.5pt;height:29.1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" filled="f" stroked="f">
              <v:textbox style="mso-fit-shape-to-text:t" inset="0,15pt,20pt,0">
                <w:txbxContent>
                  <w:p w14:paraId="548688C7" w14:textId="483A1D6C" w:rsidR="00771D27" w:rsidRPr="00771D27" w:rsidRDefault="00771D27" w:rsidP="00771D27">
                    <w:pPr>
                      <w:spacing w:after="0"/>
                      <w:rPr>
                        <w:rFonts w:ascii="Aptos" w:eastAsia="Aptos" w:hAnsi="Aptos" w:cs="Aptos"/>
                        <w:noProof/>
                        <w:color w:val="000000"/>
                        <w:sz w:val="20"/>
                        <w:szCs w:val="20"/>
                      </w:rPr>
                    </w:pPr>
                    <w:r w:rsidRPr="00771D27">
                      <w:rPr>
                        <w:rFonts w:ascii="Aptos" w:eastAsia="Aptos" w:hAnsi="Aptos" w:cs="Aptos"/>
                        <w:noProof/>
                        <w:color w:val="000000"/>
                        <w:sz w:val="20"/>
                        <w:szCs w:val="20"/>
                      </w:rPr>
                      <w:t>UNCLASSIFIED | NON 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C463C"/>
    <w:multiLevelType w:val="hybridMultilevel"/>
    <w:tmpl w:val="75001BC2"/>
    <w:lvl w:ilvl="0" w:tplc="F552ECFE">
      <w:numFmt w:val="bullet"/>
      <w:lvlText w:val="-"/>
      <w:lvlJc w:val="left"/>
      <w:pPr>
        <w:ind w:left="720" w:hanging="360"/>
      </w:pPr>
      <w:rPr>
        <w:rFonts w:ascii="Aptos" w:eastAsiaTheme="minorHAnsi" w:hAnsi="Apto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3A0B703E"/>
    <w:multiLevelType w:val="multilevel"/>
    <w:tmpl w:val="AEDE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5685718">
    <w:abstractNumId w:val="1"/>
  </w:num>
  <w:num w:numId="2" w16cid:durableId="172813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370"/>
    <w:rsid w:val="0005100D"/>
    <w:rsid w:val="000673FE"/>
    <w:rsid w:val="00085BE0"/>
    <w:rsid w:val="00095B5B"/>
    <w:rsid w:val="000A2DC1"/>
    <w:rsid w:val="000F0B25"/>
    <w:rsid w:val="001210BB"/>
    <w:rsid w:val="00150C44"/>
    <w:rsid w:val="00160F16"/>
    <w:rsid w:val="001620D0"/>
    <w:rsid w:val="00164584"/>
    <w:rsid w:val="001845CF"/>
    <w:rsid w:val="001B0E45"/>
    <w:rsid w:val="001B5CCF"/>
    <w:rsid w:val="001C5AE1"/>
    <w:rsid w:val="00215D77"/>
    <w:rsid w:val="002443EE"/>
    <w:rsid w:val="002C605A"/>
    <w:rsid w:val="002D4EC7"/>
    <w:rsid w:val="002D54F1"/>
    <w:rsid w:val="002E4F40"/>
    <w:rsid w:val="00342106"/>
    <w:rsid w:val="003549F3"/>
    <w:rsid w:val="003554C8"/>
    <w:rsid w:val="00396667"/>
    <w:rsid w:val="003A1960"/>
    <w:rsid w:val="003D4AFC"/>
    <w:rsid w:val="003D6632"/>
    <w:rsid w:val="003E0388"/>
    <w:rsid w:val="00404C17"/>
    <w:rsid w:val="004F358A"/>
    <w:rsid w:val="00512248"/>
    <w:rsid w:val="005275E6"/>
    <w:rsid w:val="00542BBA"/>
    <w:rsid w:val="00557F54"/>
    <w:rsid w:val="005B3623"/>
    <w:rsid w:val="005E377C"/>
    <w:rsid w:val="006007D7"/>
    <w:rsid w:val="006017F1"/>
    <w:rsid w:val="006549DF"/>
    <w:rsid w:val="00654F06"/>
    <w:rsid w:val="006674D6"/>
    <w:rsid w:val="006816E7"/>
    <w:rsid w:val="006B0053"/>
    <w:rsid w:val="006C27F7"/>
    <w:rsid w:val="006C4D0A"/>
    <w:rsid w:val="007066F3"/>
    <w:rsid w:val="0074425A"/>
    <w:rsid w:val="00771D27"/>
    <w:rsid w:val="00822518"/>
    <w:rsid w:val="008435F0"/>
    <w:rsid w:val="00897991"/>
    <w:rsid w:val="008A0EAD"/>
    <w:rsid w:val="008D4D2F"/>
    <w:rsid w:val="00952D11"/>
    <w:rsid w:val="009548BB"/>
    <w:rsid w:val="00A415D5"/>
    <w:rsid w:val="00A7379C"/>
    <w:rsid w:val="00AF2064"/>
    <w:rsid w:val="00AF360D"/>
    <w:rsid w:val="00B12753"/>
    <w:rsid w:val="00B15E38"/>
    <w:rsid w:val="00B45A86"/>
    <w:rsid w:val="00B90EFC"/>
    <w:rsid w:val="00B939A3"/>
    <w:rsid w:val="00B95BDF"/>
    <w:rsid w:val="00C0096D"/>
    <w:rsid w:val="00C73346"/>
    <w:rsid w:val="00C82FFC"/>
    <w:rsid w:val="00C8463B"/>
    <w:rsid w:val="00C863A9"/>
    <w:rsid w:val="00D06151"/>
    <w:rsid w:val="00D53E04"/>
    <w:rsid w:val="00DA64A0"/>
    <w:rsid w:val="00DC41EC"/>
    <w:rsid w:val="00DF59A9"/>
    <w:rsid w:val="00E05F62"/>
    <w:rsid w:val="00E1462C"/>
    <w:rsid w:val="00E20370"/>
    <w:rsid w:val="00E21E6C"/>
    <w:rsid w:val="00EC1538"/>
    <w:rsid w:val="00F2598F"/>
    <w:rsid w:val="00F26399"/>
    <w:rsid w:val="00F32CB4"/>
    <w:rsid w:val="00F813A2"/>
    <w:rsid w:val="00F82FE5"/>
    <w:rsid w:val="00FB1183"/>
    <w:rsid w:val="00FC4F8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654C"/>
  <w15:chartTrackingRefBased/>
  <w15:docId w15:val="{89368941-891A-42A2-904E-76C9D2C6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203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203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2037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2037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2037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2037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2037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2037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2037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2037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2037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2037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2037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2037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2037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2037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2037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20370"/>
    <w:rPr>
      <w:rFonts w:eastAsiaTheme="majorEastAsia" w:cstheme="majorBidi"/>
      <w:color w:val="272727" w:themeColor="text1" w:themeTint="D8"/>
    </w:rPr>
  </w:style>
  <w:style w:type="paragraph" w:styleId="Titre">
    <w:name w:val="Title"/>
    <w:basedOn w:val="Normal"/>
    <w:next w:val="Normal"/>
    <w:link w:val="TitreCar"/>
    <w:uiPriority w:val="10"/>
    <w:qFormat/>
    <w:rsid w:val="00E203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2037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2037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2037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20370"/>
    <w:pPr>
      <w:spacing w:before="160"/>
      <w:jc w:val="center"/>
    </w:pPr>
    <w:rPr>
      <w:i/>
      <w:iCs/>
      <w:color w:val="404040" w:themeColor="text1" w:themeTint="BF"/>
    </w:rPr>
  </w:style>
  <w:style w:type="character" w:customStyle="1" w:styleId="CitationCar">
    <w:name w:val="Citation Car"/>
    <w:basedOn w:val="Policepardfaut"/>
    <w:link w:val="Citation"/>
    <w:uiPriority w:val="29"/>
    <w:rsid w:val="00E20370"/>
    <w:rPr>
      <w:i/>
      <w:iCs/>
      <w:color w:val="404040" w:themeColor="text1" w:themeTint="BF"/>
    </w:rPr>
  </w:style>
  <w:style w:type="paragraph" w:styleId="Paragraphedeliste">
    <w:name w:val="List Paragraph"/>
    <w:basedOn w:val="Normal"/>
    <w:uiPriority w:val="34"/>
    <w:qFormat/>
    <w:rsid w:val="00E20370"/>
    <w:pPr>
      <w:ind w:left="720"/>
      <w:contextualSpacing/>
    </w:pPr>
  </w:style>
  <w:style w:type="character" w:styleId="Accentuationintense">
    <w:name w:val="Intense Emphasis"/>
    <w:basedOn w:val="Policepardfaut"/>
    <w:uiPriority w:val="21"/>
    <w:qFormat/>
    <w:rsid w:val="00E20370"/>
    <w:rPr>
      <w:i/>
      <w:iCs/>
      <w:color w:val="0F4761" w:themeColor="accent1" w:themeShade="BF"/>
    </w:rPr>
  </w:style>
  <w:style w:type="paragraph" w:styleId="Citationintense">
    <w:name w:val="Intense Quote"/>
    <w:basedOn w:val="Normal"/>
    <w:next w:val="Normal"/>
    <w:link w:val="CitationintenseCar"/>
    <w:uiPriority w:val="30"/>
    <w:qFormat/>
    <w:rsid w:val="00E203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20370"/>
    <w:rPr>
      <w:i/>
      <w:iCs/>
      <w:color w:val="0F4761" w:themeColor="accent1" w:themeShade="BF"/>
    </w:rPr>
  </w:style>
  <w:style w:type="character" w:styleId="Rfrenceintense">
    <w:name w:val="Intense Reference"/>
    <w:basedOn w:val="Policepardfaut"/>
    <w:uiPriority w:val="32"/>
    <w:qFormat/>
    <w:rsid w:val="00E20370"/>
    <w:rPr>
      <w:b/>
      <w:bCs/>
      <w:smallCaps/>
      <w:color w:val="0F4761" w:themeColor="accent1" w:themeShade="BF"/>
      <w:spacing w:val="5"/>
    </w:rPr>
  </w:style>
  <w:style w:type="character" w:styleId="Lienhypertexte">
    <w:name w:val="Hyperlink"/>
    <w:basedOn w:val="Policepardfaut"/>
    <w:uiPriority w:val="99"/>
    <w:unhideWhenUsed/>
    <w:rsid w:val="008435F0"/>
    <w:rPr>
      <w:color w:val="467886" w:themeColor="hyperlink"/>
      <w:u w:val="single"/>
    </w:rPr>
  </w:style>
  <w:style w:type="character" w:styleId="Mentionnonrsolue">
    <w:name w:val="Unresolved Mention"/>
    <w:basedOn w:val="Policepardfaut"/>
    <w:uiPriority w:val="99"/>
    <w:semiHidden/>
    <w:unhideWhenUsed/>
    <w:rsid w:val="008435F0"/>
    <w:rPr>
      <w:color w:val="605E5C"/>
      <w:shd w:val="clear" w:color="auto" w:fill="E1DFDD"/>
    </w:rPr>
  </w:style>
  <w:style w:type="paragraph" w:styleId="En-tte">
    <w:name w:val="header"/>
    <w:basedOn w:val="Normal"/>
    <w:link w:val="En-tteCar"/>
    <w:uiPriority w:val="99"/>
    <w:unhideWhenUsed/>
    <w:rsid w:val="008435F0"/>
    <w:pPr>
      <w:tabs>
        <w:tab w:val="center" w:pos="4680"/>
        <w:tab w:val="right" w:pos="9360"/>
      </w:tabs>
      <w:spacing w:after="0" w:line="240" w:lineRule="auto"/>
    </w:pPr>
  </w:style>
  <w:style w:type="character" w:customStyle="1" w:styleId="En-tteCar">
    <w:name w:val="En-tête Car"/>
    <w:basedOn w:val="Policepardfaut"/>
    <w:link w:val="En-tte"/>
    <w:uiPriority w:val="99"/>
    <w:rsid w:val="008435F0"/>
  </w:style>
  <w:style w:type="paragraph" w:styleId="Pieddepage">
    <w:name w:val="footer"/>
    <w:basedOn w:val="Normal"/>
    <w:link w:val="PieddepageCar"/>
    <w:uiPriority w:val="99"/>
    <w:unhideWhenUsed/>
    <w:rsid w:val="008435F0"/>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435F0"/>
  </w:style>
  <w:style w:type="character" w:styleId="Marquedecommentaire">
    <w:name w:val="annotation reference"/>
    <w:basedOn w:val="Policepardfaut"/>
    <w:uiPriority w:val="99"/>
    <w:semiHidden/>
    <w:unhideWhenUsed/>
    <w:rsid w:val="00771D27"/>
    <w:rPr>
      <w:sz w:val="16"/>
      <w:szCs w:val="16"/>
    </w:rPr>
  </w:style>
  <w:style w:type="paragraph" w:styleId="Commentaire">
    <w:name w:val="annotation text"/>
    <w:basedOn w:val="Normal"/>
    <w:link w:val="CommentaireCar"/>
    <w:uiPriority w:val="99"/>
    <w:unhideWhenUsed/>
    <w:rsid w:val="00771D27"/>
    <w:pPr>
      <w:spacing w:line="240" w:lineRule="auto"/>
    </w:pPr>
    <w:rPr>
      <w:sz w:val="20"/>
      <w:szCs w:val="20"/>
    </w:rPr>
  </w:style>
  <w:style w:type="character" w:customStyle="1" w:styleId="CommentaireCar">
    <w:name w:val="Commentaire Car"/>
    <w:basedOn w:val="Policepardfaut"/>
    <w:link w:val="Commentaire"/>
    <w:uiPriority w:val="99"/>
    <w:rsid w:val="00771D27"/>
    <w:rPr>
      <w:sz w:val="20"/>
      <w:szCs w:val="20"/>
    </w:rPr>
  </w:style>
  <w:style w:type="paragraph" w:styleId="Objetducommentaire">
    <w:name w:val="annotation subject"/>
    <w:basedOn w:val="Commentaire"/>
    <w:next w:val="Commentaire"/>
    <w:link w:val="ObjetducommentaireCar"/>
    <w:uiPriority w:val="99"/>
    <w:semiHidden/>
    <w:unhideWhenUsed/>
    <w:rsid w:val="00771D27"/>
    <w:rPr>
      <w:b/>
      <w:bCs/>
    </w:rPr>
  </w:style>
  <w:style w:type="character" w:customStyle="1" w:styleId="ObjetducommentaireCar">
    <w:name w:val="Objet du commentaire Car"/>
    <w:basedOn w:val="CommentaireCar"/>
    <w:link w:val="Objetducommentaire"/>
    <w:uiPriority w:val="99"/>
    <w:semiHidden/>
    <w:rsid w:val="00771D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stitutadapt.ca/evenements/resilience-nordique-et-infrastructures-innover-face-aux-defis-climatiques-et-de-securit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Users\kduval\AppData\Local\Microsoft\Windows\INetCache\Content.Outlook\W0BRCI01\institutadapt@etsmtl.c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62F21D-66F9-42CC-AA95-E3AF95CAE2FA}">
  <ds:schemaRefs>
    <ds:schemaRef ds:uri="http://schemas.openxmlformats.org/officeDocument/2006/bibliography"/>
  </ds:schemaRefs>
</ds:datastoreItem>
</file>

<file path=docMetadata/LabelInfo.xml><?xml version="1.0" encoding="utf-8"?>
<clbl:labelList xmlns:clbl="http://schemas.microsoft.com/office/2020/mipLabelMetadata">
  <clbl:label id="{57067e63-b0cd-4fec-a9ad-7c9978d898b3}" enabled="1" method="Standard" siteId="{056d0c2e-cfab-46fb-9709-eba99f1f136c}" contentBits="1"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3</Pages>
  <Words>768</Words>
  <Characters>4586</Characters>
  <Application>Microsoft Office Word</Application>
  <DocSecurity>0</DocSecurity>
  <Lines>80</Lines>
  <Paragraphs>18</Paragraphs>
  <ScaleCrop>false</ScaleCrop>
  <HeadingPairs>
    <vt:vector size="2" baseType="variant">
      <vt:variant>
        <vt:lpstr>Titre</vt:lpstr>
      </vt:variant>
      <vt:variant>
        <vt:i4>1</vt:i4>
      </vt:variant>
    </vt:vector>
  </HeadingPairs>
  <TitlesOfParts>
    <vt:vector size="1" baseType="lpstr">
      <vt:lpstr/>
    </vt:vector>
  </TitlesOfParts>
  <Company>Ecole de technologie superieure</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Jaouadi, Najmeddine</dc:creator>
  <cp:keywords/>
  <dc:description/>
  <cp:lastModifiedBy>Jaouadi, Najmeddine</cp:lastModifiedBy>
  <cp:revision>8</cp:revision>
  <dcterms:created xsi:type="dcterms:W3CDTF">2026-08-24T21:39:00Z</dcterms:created>
  <dcterms:modified xsi:type="dcterms:W3CDTF">2026-09-09T18:00:00Z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84f6cc2,331caf5,4d54778e</vt:lpwstr>
  </property>
  <property fmtid="{D5CDD505-2E9C-101B-9397-08002B2CF9AE}" pid="3" name="ClassificationContentMarkingHeaderFontProps">
    <vt:lpwstr>#000000,10,Aptos</vt:lpwstr>
  </property>
  <property fmtid="{D5CDD505-2E9C-101B-9397-08002B2CF9AE}" pid="4" name="ClassificationContentMarkingHeaderText">
    <vt:lpwstr>UNCLASSIFIED | NON CLASSIFIÉ</vt:lpwstr>
  </property>
</Properties>
</file>